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23975" cy="1009650"/>
            <wp:effectExtent l="0" t="0" r="9525" b="0"/>
            <wp:docPr id="1" name="Рисунок 1" descr="\\PRIVAT1\kancler\Папка для специалиста СМИ\2025 год\Картинки\герб для пресс релиз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VAT1\kancler\Папка для специалиста СМИ\2025 год\Картинки\герб для пресс релизо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4B7366">
        <w:rPr>
          <w:b/>
          <w:sz w:val="28"/>
          <w:szCs w:val="28"/>
        </w:rPr>
        <w:t>Управление Росреестра по Томской области разъясняет почему важно установить границы земельного участка?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B7366">
        <w:rPr>
          <w:sz w:val="26"/>
          <w:szCs w:val="26"/>
        </w:rPr>
        <w:t>С 1 марта 2025 года вступает в силу Федеральный закон от 26.12.2024 №487-ФЗ "О внесении изменений в отдельные законодательные акты Российской Федерации".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B7366">
        <w:rPr>
          <w:sz w:val="26"/>
          <w:szCs w:val="26"/>
        </w:rPr>
        <w:t>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B7366">
        <w:rPr>
          <w:sz w:val="26"/>
          <w:szCs w:val="26"/>
        </w:rPr>
        <w:t>Также 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купленного участка.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B7366">
        <w:rPr>
          <w:i/>
          <w:sz w:val="26"/>
          <w:szCs w:val="26"/>
        </w:rPr>
        <w:t>"Практика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</w:t>
      </w:r>
      <w:r w:rsidRPr="004B7366">
        <w:rPr>
          <w:sz w:val="26"/>
          <w:szCs w:val="26"/>
        </w:rPr>
        <w:t>", отмечает Половинко Сергей, кадастровый инженер ООО «Геоцентр», заместитель председателя апелляционной комиссии при Управлении.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B7366">
        <w:rPr>
          <w:i/>
          <w:sz w:val="26"/>
          <w:szCs w:val="26"/>
        </w:rPr>
        <w:t>"Нередки случаи, когда строительство капитальных объектов осуществляется без понимания реального местоположения границ участка. Это приводит к тому, что построенный объект оказывается расположен на чужом земельном участке или на участке, не предоставленном или не предназначенном для строительства, что порождает судебные разбирательства. С целью защиты прав новых правообладателей земельных участков от возможных проблем с определением местоположения границ и от несанкционированного занятия участков был принят указанный закон"</w:t>
      </w:r>
      <w:r w:rsidRPr="004B7366">
        <w:rPr>
          <w:sz w:val="26"/>
          <w:szCs w:val="26"/>
        </w:rPr>
        <w:t>, отметила Елена Ковальчук, заместитель руководителя Управления.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bookmarkStart w:id="0" w:name="_GoBack"/>
      <w:bookmarkEnd w:id="0"/>
      <w:r w:rsidRPr="004B7366">
        <w:rPr>
          <w:b/>
          <w:sz w:val="22"/>
          <w:szCs w:val="22"/>
        </w:rPr>
        <w:t>Пресс-служба Управления Росреестра по Томской области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4B7366">
        <w:rPr>
          <w:b/>
          <w:sz w:val="22"/>
          <w:szCs w:val="22"/>
        </w:rPr>
        <w:t>_ _ _ __ _ _ _ _ _ _ _ _ _ _ _ _ _ _ _ _ _ _ _ _ _ _ _ _ _ _ _ _ _ _ _ _ _ _ _ _ _ _ _ _ _ _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4B7366">
        <w:rPr>
          <w:b/>
          <w:sz w:val="22"/>
          <w:szCs w:val="22"/>
        </w:rPr>
        <w:t>Контакты для СМИ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4B7366">
        <w:rPr>
          <w:b/>
          <w:sz w:val="22"/>
          <w:szCs w:val="22"/>
        </w:rPr>
        <w:t>телефон: (8 38 22) 65-19-39 доб.(21-21),почта: press@r70.rosreestr.ru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4B7366">
        <w:rPr>
          <w:b/>
          <w:sz w:val="22"/>
          <w:szCs w:val="22"/>
        </w:rPr>
        <w:t>Мы в ВК</w:t>
      </w:r>
    </w:p>
    <w:p w:rsidR="004B7366" w:rsidRPr="004B7366" w:rsidRDefault="004B7366" w:rsidP="004B7366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4B7366">
        <w:rPr>
          <w:b/>
          <w:sz w:val="22"/>
          <w:szCs w:val="22"/>
        </w:rPr>
        <w:t>Мы в ОК</w:t>
      </w:r>
    </w:p>
    <w:p w:rsidR="003C2EBF" w:rsidRPr="004B7366" w:rsidRDefault="004B7366">
      <w:pPr>
        <w:tabs>
          <w:tab w:val="left" w:pos="1134"/>
        </w:tabs>
        <w:ind w:firstLine="709"/>
        <w:contextualSpacing/>
        <w:jc w:val="both"/>
        <w:rPr>
          <w:rStyle w:val="aff6"/>
          <w:i w:val="0"/>
          <w:sz w:val="22"/>
          <w:szCs w:val="22"/>
        </w:rPr>
      </w:pPr>
      <w:r w:rsidRPr="004B7366">
        <w:rPr>
          <w:b/>
          <w:sz w:val="22"/>
          <w:szCs w:val="22"/>
        </w:rPr>
        <w:t>МЫ в телеграмм</w:t>
      </w:r>
      <w:r w:rsidRPr="004B7366">
        <w:rPr>
          <w:b/>
          <w:sz w:val="22"/>
          <w:szCs w:val="22"/>
        </w:rPr>
        <w:t xml:space="preserve">  </w:t>
      </w:r>
    </w:p>
    <w:sectPr w:rsidR="003C2EBF" w:rsidRPr="004B7366">
      <w:pgSz w:w="11906" w:h="16838"/>
      <w:pgMar w:top="1276" w:right="707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BF" w:rsidRDefault="004B7366">
      <w:r>
        <w:separator/>
      </w:r>
    </w:p>
  </w:endnote>
  <w:endnote w:type="continuationSeparator" w:id="0">
    <w:p w:rsidR="003C2EBF" w:rsidRDefault="004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BF" w:rsidRDefault="004B7366">
      <w:r>
        <w:separator/>
      </w:r>
    </w:p>
  </w:footnote>
  <w:footnote w:type="continuationSeparator" w:id="0">
    <w:p w:rsidR="003C2EBF" w:rsidRDefault="004B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097"/>
    <w:multiLevelType w:val="hybridMultilevel"/>
    <w:tmpl w:val="46BA9ED4"/>
    <w:lvl w:ilvl="0" w:tplc="9E3CE1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D8C6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EB6A3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29A5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8247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F5EFE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94622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0BE49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D6EB3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1B553349"/>
    <w:multiLevelType w:val="hybridMultilevel"/>
    <w:tmpl w:val="74DA3E90"/>
    <w:lvl w:ilvl="0" w:tplc="931AF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26EA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D7E00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55ECD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0092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F5AA9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63824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0EC5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02A05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2CDD510A"/>
    <w:multiLevelType w:val="hybridMultilevel"/>
    <w:tmpl w:val="78E8E724"/>
    <w:lvl w:ilvl="0" w:tplc="D1C618F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35820F18">
      <w:start w:val="1"/>
      <w:numFmt w:val="lowerLetter"/>
      <w:lvlText w:val="%2."/>
      <w:lvlJc w:val="left"/>
      <w:pPr>
        <w:ind w:left="1789" w:hanging="360"/>
      </w:pPr>
    </w:lvl>
    <w:lvl w:ilvl="2" w:tplc="545E0FFC">
      <w:start w:val="1"/>
      <w:numFmt w:val="lowerRoman"/>
      <w:lvlText w:val="%3."/>
      <w:lvlJc w:val="right"/>
      <w:pPr>
        <w:ind w:left="2509" w:hanging="180"/>
      </w:pPr>
    </w:lvl>
    <w:lvl w:ilvl="3" w:tplc="BC84C85A">
      <w:start w:val="1"/>
      <w:numFmt w:val="decimal"/>
      <w:lvlText w:val="%4."/>
      <w:lvlJc w:val="left"/>
      <w:pPr>
        <w:ind w:left="3229" w:hanging="360"/>
      </w:pPr>
    </w:lvl>
    <w:lvl w:ilvl="4" w:tplc="AB14D060">
      <w:start w:val="1"/>
      <w:numFmt w:val="lowerLetter"/>
      <w:lvlText w:val="%5."/>
      <w:lvlJc w:val="left"/>
      <w:pPr>
        <w:ind w:left="3949" w:hanging="360"/>
      </w:pPr>
    </w:lvl>
    <w:lvl w:ilvl="5" w:tplc="92184DC6">
      <w:start w:val="1"/>
      <w:numFmt w:val="lowerRoman"/>
      <w:lvlText w:val="%6."/>
      <w:lvlJc w:val="right"/>
      <w:pPr>
        <w:ind w:left="4669" w:hanging="180"/>
      </w:pPr>
    </w:lvl>
    <w:lvl w:ilvl="6" w:tplc="F51A9950">
      <w:start w:val="1"/>
      <w:numFmt w:val="decimal"/>
      <w:lvlText w:val="%7."/>
      <w:lvlJc w:val="left"/>
      <w:pPr>
        <w:ind w:left="5389" w:hanging="360"/>
      </w:pPr>
    </w:lvl>
    <w:lvl w:ilvl="7" w:tplc="3DE83BE0">
      <w:start w:val="1"/>
      <w:numFmt w:val="lowerLetter"/>
      <w:lvlText w:val="%8."/>
      <w:lvlJc w:val="left"/>
      <w:pPr>
        <w:ind w:left="6109" w:hanging="360"/>
      </w:pPr>
    </w:lvl>
    <w:lvl w:ilvl="8" w:tplc="63763A5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1155AE"/>
    <w:multiLevelType w:val="hybridMultilevel"/>
    <w:tmpl w:val="695A253C"/>
    <w:lvl w:ilvl="0" w:tplc="E152A19E">
      <w:start w:val="1"/>
      <w:numFmt w:val="decimal"/>
      <w:lvlText w:val="%1."/>
      <w:lvlJc w:val="left"/>
      <w:pPr>
        <w:ind w:left="1184" w:hanging="360"/>
      </w:pPr>
    </w:lvl>
    <w:lvl w:ilvl="1" w:tplc="99F83D1C">
      <w:start w:val="1"/>
      <w:numFmt w:val="lowerLetter"/>
      <w:lvlText w:val="%2."/>
      <w:lvlJc w:val="left"/>
      <w:pPr>
        <w:ind w:left="1904" w:hanging="360"/>
      </w:pPr>
    </w:lvl>
    <w:lvl w:ilvl="2" w:tplc="BD447FE8">
      <w:start w:val="1"/>
      <w:numFmt w:val="lowerRoman"/>
      <w:lvlText w:val="%3."/>
      <w:lvlJc w:val="right"/>
      <w:pPr>
        <w:ind w:left="2624" w:hanging="180"/>
      </w:pPr>
    </w:lvl>
    <w:lvl w:ilvl="3" w:tplc="57CC7F5C">
      <w:start w:val="1"/>
      <w:numFmt w:val="decimal"/>
      <w:lvlText w:val="%4."/>
      <w:lvlJc w:val="left"/>
      <w:pPr>
        <w:ind w:left="3344" w:hanging="360"/>
      </w:pPr>
    </w:lvl>
    <w:lvl w:ilvl="4" w:tplc="7F8C97C8">
      <w:start w:val="1"/>
      <w:numFmt w:val="lowerLetter"/>
      <w:lvlText w:val="%5."/>
      <w:lvlJc w:val="left"/>
      <w:pPr>
        <w:ind w:left="4064" w:hanging="360"/>
      </w:pPr>
    </w:lvl>
    <w:lvl w:ilvl="5" w:tplc="4FA4A6E6">
      <w:start w:val="1"/>
      <w:numFmt w:val="lowerRoman"/>
      <w:lvlText w:val="%6."/>
      <w:lvlJc w:val="right"/>
      <w:pPr>
        <w:ind w:left="4784" w:hanging="180"/>
      </w:pPr>
    </w:lvl>
    <w:lvl w:ilvl="6" w:tplc="791481A4">
      <w:start w:val="1"/>
      <w:numFmt w:val="decimal"/>
      <w:lvlText w:val="%7."/>
      <w:lvlJc w:val="left"/>
      <w:pPr>
        <w:ind w:left="5504" w:hanging="360"/>
      </w:pPr>
    </w:lvl>
    <w:lvl w:ilvl="7" w:tplc="082A9F26">
      <w:start w:val="1"/>
      <w:numFmt w:val="lowerLetter"/>
      <w:lvlText w:val="%8."/>
      <w:lvlJc w:val="left"/>
      <w:pPr>
        <w:ind w:left="6224" w:hanging="360"/>
      </w:pPr>
    </w:lvl>
    <w:lvl w:ilvl="8" w:tplc="F27E806E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327C0DB8"/>
    <w:multiLevelType w:val="hybridMultilevel"/>
    <w:tmpl w:val="0A441A02"/>
    <w:lvl w:ilvl="0" w:tplc="3B7C90F6">
      <w:start w:val="1"/>
      <w:numFmt w:val="decimal"/>
      <w:lvlText w:val="%1."/>
      <w:lvlJc w:val="left"/>
      <w:pPr>
        <w:ind w:left="1184" w:hanging="360"/>
      </w:pPr>
      <w:rPr>
        <w:color w:val="000000"/>
      </w:rPr>
    </w:lvl>
    <w:lvl w:ilvl="1" w:tplc="BA68A2B4">
      <w:start w:val="1"/>
      <w:numFmt w:val="lowerLetter"/>
      <w:lvlText w:val="%2."/>
      <w:lvlJc w:val="left"/>
      <w:pPr>
        <w:ind w:left="1904" w:hanging="360"/>
      </w:pPr>
    </w:lvl>
    <w:lvl w:ilvl="2" w:tplc="6E460D7C">
      <w:start w:val="1"/>
      <w:numFmt w:val="lowerRoman"/>
      <w:lvlText w:val="%3."/>
      <w:lvlJc w:val="right"/>
      <w:pPr>
        <w:ind w:left="2624" w:hanging="180"/>
      </w:pPr>
    </w:lvl>
    <w:lvl w:ilvl="3" w:tplc="C92A06F2">
      <w:start w:val="1"/>
      <w:numFmt w:val="decimal"/>
      <w:lvlText w:val="%4."/>
      <w:lvlJc w:val="left"/>
      <w:pPr>
        <w:ind w:left="3344" w:hanging="360"/>
      </w:pPr>
    </w:lvl>
    <w:lvl w:ilvl="4" w:tplc="ED4064CE">
      <w:start w:val="1"/>
      <w:numFmt w:val="lowerLetter"/>
      <w:lvlText w:val="%5."/>
      <w:lvlJc w:val="left"/>
      <w:pPr>
        <w:ind w:left="4064" w:hanging="360"/>
      </w:pPr>
    </w:lvl>
    <w:lvl w:ilvl="5" w:tplc="D23C06C6">
      <w:start w:val="1"/>
      <w:numFmt w:val="lowerRoman"/>
      <w:lvlText w:val="%6."/>
      <w:lvlJc w:val="right"/>
      <w:pPr>
        <w:ind w:left="4784" w:hanging="180"/>
      </w:pPr>
    </w:lvl>
    <w:lvl w:ilvl="6" w:tplc="3BACAA58">
      <w:start w:val="1"/>
      <w:numFmt w:val="decimal"/>
      <w:lvlText w:val="%7."/>
      <w:lvlJc w:val="left"/>
      <w:pPr>
        <w:ind w:left="5504" w:hanging="360"/>
      </w:pPr>
    </w:lvl>
    <w:lvl w:ilvl="7" w:tplc="9E4C6BB6">
      <w:start w:val="1"/>
      <w:numFmt w:val="lowerLetter"/>
      <w:lvlText w:val="%8."/>
      <w:lvlJc w:val="left"/>
      <w:pPr>
        <w:ind w:left="6224" w:hanging="360"/>
      </w:pPr>
    </w:lvl>
    <w:lvl w:ilvl="8" w:tplc="B6FA3F1A">
      <w:start w:val="1"/>
      <w:numFmt w:val="lowerRoman"/>
      <w:lvlText w:val="%9."/>
      <w:lvlJc w:val="right"/>
      <w:pPr>
        <w:ind w:left="6944" w:hanging="180"/>
      </w:pPr>
    </w:lvl>
  </w:abstractNum>
  <w:abstractNum w:abstractNumId="5">
    <w:nsid w:val="34AE32B4"/>
    <w:multiLevelType w:val="hybridMultilevel"/>
    <w:tmpl w:val="A7B8B7B0"/>
    <w:lvl w:ilvl="0" w:tplc="6D9A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9781376">
      <w:start w:val="1"/>
      <w:numFmt w:val="lowerLetter"/>
      <w:lvlText w:val="%2."/>
      <w:lvlJc w:val="left"/>
      <w:pPr>
        <w:ind w:left="1440" w:hanging="360"/>
      </w:pPr>
    </w:lvl>
    <w:lvl w:ilvl="2" w:tplc="FB92A7B4">
      <w:start w:val="1"/>
      <w:numFmt w:val="lowerRoman"/>
      <w:lvlText w:val="%3."/>
      <w:lvlJc w:val="right"/>
      <w:pPr>
        <w:ind w:left="2160" w:hanging="180"/>
      </w:pPr>
    </w:lvl>
    <w:lvl w:ilvl="3" w:tplc="21BC7E90">
      <w:start w:val="1"/>
      <w:numFmt w:val="decimal"/>
      <w:lvlText w:val="%4."/>
      <w:lvlJc w:val="left"/>
      <w:pPr>
        <w:ind w:left="2880" w:hanging="360"/>
      </w:pPr>
    </w:lvl>
    <w:lvl w:ilvl="4" w:tplc="E1C4984C">
      <w:start w:val="1"/>
      <w:numFmt w:val="lowerLetter"/>
      <w:lvlText w:val="%5."/>
      <w:lvlJc w:val="left"/>
      <w:pPr>
        <w:ind w:left="3600" w:hanging="360"/>
      </w:pPr>
    </w:lvl>
    <w:lvl w:ilvl="5" w:tplc="44B66698">
      <w:start w:val="1"/>
      <w:numFmt w:val="lowerRoman"/>
      <w:lvlText w:val="%6."/>
      <w:lvlJc w:val="right"/>
      <w:pPr>
        <w:ind w:left="4320" w:hanging="180"/>
      </w:pPr>
    </w:lvl>
    <w:lvl w:ilvl="6" w:tplc="43FA5364">
      <w:start w:val="1"/>
      <w:numFmt w:val="decimal"/>
      <w:lvlText w:val="%7."/>
      <w:lvlJc w:val="left"/>
      <w:pPr>
        <w:ind w:left="5040" w:hanging="360"/>
      </w:pPr>
    </w:lvl>
    <w:lvl w:ilvl="7" w:tplc="8BD615D4">
      <w:start w:val="1"/>
      <w:numFmt w:val="lowerLetter"/>
      <w:lvlText w:val="%8."/>
      <w:lvlJc w:val="left"/>
      <w:pPr>
        <w:ind w:left="5760" w:hanging="360"/>
      </w:pPr>
    </w:lvl>
    <w:lvl w:ilvl="8" w:tplc="AC8C244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1253D"/>
    <w:multiLevelType w:val="hybridMultilevel"/>
    <w:tmpl w:val="C1B263C6"/>
    <w:lvl w:ilvl="0" w:tplc="3892B214">
      <w:start w:val="1"/>
      <w:numFmt w:val="decimal"/>
      <w:lvlText w:val="%1."/>
      <w:lvlJc w:val="left"/>
      <w:pPr>
        <w:ind w:left="643" w:hanging="360"/>
      </w:pPr>
    </w:lvl>
    <w:lvl w:ilvl="1" w:tplc="25348BFE">
      <w:start w:val="1"/>
      <w:numFmt w:val="lowerLetter"/>
      <w:lvlText w:val="%2."/>
      <w:lvlJc w:val="left"/>
      <w:pPr>
        <w:ind w:left="1363" w:hanging="360"/>
      </w:pPr>
    </w:lvl>
    <w:lvl w:ilvl="2" w:tplc="1A34BD2E">
      <w:start w:val="1"/>
      <w:numFmt w:val="lowerRoman"/>
      <w:lvlText w:val="%3."/>
      <w:lvlJc w:val="right"/>
      <w:pPr>
        <w:ind w:left="2083" w:hanging="180"/>
      </w:pPr>
    </w:lvl>
    <w:lvl w:ilvl="3" w:tplc="3D8A55F6">
      <w:start w:val="1"/>
      <w:numFmt w:val="decimal"/>
      <w:lvlText w:val="%4."/>
      <w:lvlJc w:val="left"/>
      <w:pPr>
        <w:ind w:left="2803" w:hanging="360"/>
      </w:pPr>
    </w:lvl>
    <w:lvl w:ilvl="4" w:tplc="1A5A3F48">
      <w:start w:val="1"/>
      <w:numFmt w:val="lowerLetter"/>
      <w:lvlText w:val="%5."/>
      <w:lvlJc w:val="left"/>
      <w:pPr>
        <w:ind w:left="3523" w:hanging="360"/>
      </w:pPr>
    </w:lvl>
    <w:lvl w:ilvl="5" w:tplc="165414A2">
      <w:start w:val="1"/>
      <w:numFmt w:val="lowerRoman"/>
      <w:lvlText w:val="%6."/>
      <w:lvlJc w:val="right"/>
      <w:pPr>
        <w:ind w:left="4243" w:hanging="180"/>
      </w:pPr>
    </w:lvl>
    <w:lvl w:ilvl="6" w:tplc="036C9C04">
      <w:start w:val="1"/>
      <w:numFmt w:val="decimal"/>
      <w:lvlText w:val="%7."/>
      <w:lvlJc w:val="left"/>
      <w:pPr>
        <w:ind w:left="4963" w:hanging="360"/>
      </w:pPr>
    </w:lvl>
    <w:lvl w:ilvl="7" w:tplc="AC0A6A34">
      <w:start w:val="1"/>
      <w:numFmt w:val="lowerLetter"/>
      <w:lvlText w:val="%8."/>
      <w:lvlJc w:val="left"/>
      <w:pPr>
        <w:ind w:left="5683" w:hanging="360"/>
      </w:pPr>
    </w:lvl>
    <w:lvl w:ilvl="8" w:tplc="DBA03BE0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50E1709"/>
    <w:multiLevelType w:val="hybridMultilevel"/>
    <w:tmpl w:val="B086ABA6"/>
    <w:lvl w:ilvl="0" w:tplc="AA0C309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 w:tplc="BF6C0C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982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A04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4CF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B8D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160B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4A7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245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69651A2"/>
    <w:multiLevelType w:val="hybridMultilevel"/>
    <w:tmpl w:val="E724FE90"/>
    <w:lvl w:ilvl="0" w:tplc="95A441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 w:tplc="24CC21B2">
      <w:start w:val="1"/>
      <w:numFmt w:val="lowerLetter"/>
      <w:lvlText w:val="%2."/>
      <w:lvlJc w:val="left"/>
      <w:pPr>
        <w:ind w:left="1440" w:hanging="360"/>
      </w:pPr>
    </w:lvl>
    <w:lvl w:ilvl="2" w:tplc="FD100770">
      <w:start w:val="1"/>
      <w:numFmt w:val="lowerRoman"/>
      <w:lvlText w:val="%3."/>
      <w:lvlJc w:val="right"/>
      <w:pPr>
        <w:ind w:left="2160" w:hanging="180"/>
      </w:pPr>
    </w:lvl>
    <w:lvl w:ilvl="3" w:tplc="B574A05C">
      <w:start w:val="1"/>
      <w:numFmt w:val="decimal"/>
      <w:lvlText w:val="%4."/>
      <w:lvlJc w:val="left"/>
      <w:pPr>
        <w:ind w:left="2880" w:hanging="360"/>
      </w:pPr>
    </w:lvl>
    <w:lvl w:ilvl="4" w:tplc="8CDA0D50">
      <w:start w:val="1"/>
      <w:numFmt w:val="lowerLetter"/>
      <w:lvlText w:val="%5."/>
      <w:lvlJc w:val="left"/>
      <w:pPr>
        <w:ind w:left="3600" w:hanging="360"/>
      </w:pPr>
    </w:lvl>
    <w:lvl w:ilvl="5" w:tplc="37AE75CC">
      <w:start w:val="1"/>
      <w:numFmt w:val="lowerRoman"/>
      <w:lvlText w:val="%6."/>
      <w:lvlJc w:val="right"/>
      <w:pPr>
        <w:ind w:left="4320" w:hanging="180"/>
      </w:pPr>
    </w:lvl>
    <w:lvl w:ilvl="6" w:tplc="71C8A4EA">
      <w:start w:val="1"/>
      <w:numFmt w:val="decimal"/>
      <w:lvlText w:val="%7."/>
      <w:lvlJc w:val="left"/>
      <w:pPr>
        <w:ind w:left="5040" w:hanging="360"/>
      </w:pPr>
    </w:lvl>
    <w:lvl w:ilvl="7" w:tplc="46C8F668">
      <w:start w:val="1"/>
      <w:numFmt w:val="lowerLetter"/>
      <w:lvlText w:val="%8."/>
      <w:lvlJc w:val="left"/>
      <w:pPr>
        <w:ind w:left="5760" w:hanging="360"/>
      </w:pPr>
    </w:lvl>
    <w:lvl w:ilvl="8" w:tplc="BDD646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BF"/>
    <w:rsid w:val="003C2EBF"/>
    <w:rsid w:val="004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right="19772" w:firstLine="720"/>
    </w:pPr>
    <w:rPr>
      <w:rFonts w:ascii="Arial" w:eastAsia="Calibri" w:hAnsi="Arial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pPr>
      <w:jc w:val="center"/>
    </w:pPr>
    <w:rPr>
      <w:rFonts w:eastAsia="Times New Roman"/>
      <w:b/>
      <w:sz w:val="32"/>
      <w:szCs w:val="20"/>
    </w:rPr>
  </w:style>
  <w:style w:type="character" w:styleId="afd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2 Знак"/>
    <w:link w:val="25"/>
    <w:rPr>
      <w:rFonts w:ascii="Calibri" w:eastAsia="Calibri" w:hAnsi="Calibri"/>
      <w:sz w:val="24"/>
      <w:szCs w:val="24"/>
      <w:lang w:val="ru-RU" w:eastAsia="ru-RU" w:bidi="ar-SA"/>
    </w:rPr>
  </w:style>
  <w:style w:type="paragraph" w:styleId="25">
    <w:name w:val="Body Text 2"/>
    <w:basedOn w:val="a"/>
    <w:link w:val="24"/>
    <w:pPr>
      <w:spacing w:after="120" w:line="480" w:lineRule="auto"/>
    </w:pPr>
    <w:rPr>
      <w:rFonts w:ascii="Calibri" w:hAnsi="Calibri"/>
    </w:rPr>
  </w:style>
  <w:style w:type="character" w:customStyle="1" w:styleId="aff">
    <w:name w:val="Знак Знак"/>
    <w:rPr>
      <w:rFonts w:ascii="Calibri" w:eastAsia="Calibri" w:hAnsi="Calibri"/>
      <w:sz w:val="24"/>
      <w:szCs w:val="24"/>
      <w:lang w:val="ru-RU" w:eastAsia="ru-RU" w:bidi="ar-SA"/>
    </w:rPr>
  </w:style>
  <w:style w:type="paragraph" w:styleId="aff0">
    <w:name w:val="Block Text"/>
    <w:basedOn w:val="a"/>
    <w:pPr>
      <w:shd w:val="clear" w:color="auto" w:fill="FFFFFF"/>
      <w:spacing w:line="317" w:lineRule="exact"/>
      <w:ind w:left="24" w:right="5" w:firstLine="706"/>
      <w:jc w:val="both"/>
    </w:pPr>
    <w:rPr>
      <w:rFonts w:eastAsia="MS Mincho"/>
      <w:sz w:val="28"/>
      <w:szCs w:val="20"/>
    </w:rPr>
  </w:style>
  <w:style w:type="paragraph" w:styleId="aff1">
    <w:name w:val="Normal (Web)"/>
    <w:basedOn w:val="a"/>
    <w:link w:val="aff2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revannmailrucssattributepostfix">
    <w:name w:val="revannmailrucssattributepostfix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rPr>
      <w:sz w:val="24"/>
      <w:szCs w:val="24"/>
    </w:rPr>
  </w:style>
  <w:style w:type="character" w:customStyle="1" w:styleId="aff2">
    <w:name w:val="Обычный (веб) Знак"/>
    <w:link w:val="aff1"/>
    <w:uiPriority w:val="99"/>
    <w:rPr>
      <w:sz w:val="24"/>
      <w:szCs w:val="24"/>
    </w:rPr>
  </w:style>
  <w:style w:type="paragraph" w:styleId="aff3">
    <w:name w:val="Body Text Indent"/>
    <w:basedOn w:val="a"/>
    <w:link w:val="aff4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rPr>
      <w:rFonts w:eastAsia="Calibri"/>
      <w:sz w:val="24"/>
      <w:szCs w:val="24"/>
    </w:rPr>
  </w:style>
  <w:style w:type="paragraph" w:customStyle="1" w:styleId="aff5">
    <w:name w:val="Адресат"/>
    <w:basedOn w:val="a"/>
    <w:pPr>
      <w:spacing w:before="120"/>
    </w:pPr>
    <w:rPr>
      <w:rFonts w:eastAsia="Times New Roman"/>
      <w:b/>
      <w:sz w:val="26"/>
      <w:szCs w:val="20"/>
    </w:rPr>
  </w:style>
  <w:style w:type="character" w:styleId="aff6">
    <w:name w:val="Emphasis"/>
    <w:qFormat/>
    <w:rPr>
      <w:i/>
      <w:iCs/>
    </w:rPr>
  </w:style>
  <w:style w:type="paragraph" w:customStyle="1" w:styleId="2212111">
    <w:name w:val="Текст сноски;Текст сноски Знак Знак;Знак2 Знак Знак;Знак Знак Знак;Текст сноски Знак2;Знак Знак1 Знак;Текст сноски Знак Знак Знак Знак;Знак2 Знак Знак Знак Знак;Знак;Текст сноски Знак1 Знак Знак;Знак Знак1;Текст сноски Знак1"/>
    <w:basedOn w:val="a"/>
    <w:link w:val="22121"/>
    <w:rPr>
      <w:sz w:val="20"/>
      <w:szCs w:val="20"/>
    </w:rPr>
  </w:style>
  <w:style w:type="character" w:customStyle="1" w:styleId="22121">
    <w:name w:val="Текст сноски Знак;Текст сноски Знак Знак Знак;Знак2 Знак Знак Знак;Знак Знак Знак Знак;Текст сноски Знак2 Знак;Знак Знак1 Знак Знак;Текст сноски Знак Знак Знак Знак Знак;Знак2 Знак Знак Знак Знак Знак;Знак Знак;Текст сноски Знак1 Знак Знак Знак"/>
    <w:link w:val="2212111"/>
    <w:rPr>
      <w:rFonts w:eastAsia="Calibri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2">
    <w:name w:val="Выделение1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right="19772" w:firstLine="720"/>
    </w:pPr>
    <w:rPr>
      <w:rFonts w:ascii="Arial" w:eastAsia="Calibri" w:hAnsi="Arial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pPr>
      <w:jc w:val="center"/>
    </w:pPr>
    <w:rPr>
      <w:rFonts w:eastAsia="Times New Roman"/>
      <w:b/>
      <w:sz w:val="32"/>
      <w:szCs w:val="20"/>
    </w:rPr>
  </w:style>
  <w:style w:type="character" w:styleId="afd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2 Знак"/>
    <w:link w:val="25"/>
    <w:rPr>
      <w:rFonts w:ascii="Calibri" w:eastAsia="Calibri" w:hAnsi="Calibri"/>
      <w:sz w:val="24"/>
      <w:szCs w:val="24"/>
      <w:lang w:val="ru-RU" w:eastAsia="ru-RU" w:bidi="ar-SA"/>
    </w:rPr>
  </w:style>
  <w:style w:type="paragraph" w:styleId="25">
    <w:name w:val="Body Text 2"/>
    <w:basedOn w:val="a"/>
    <w:link w:val="24"/>
    <w:pPr>
      <w:spacing w:after="120" w:line="480" w:lineRule="auto"/>
    </w:pPr>
    <w:rPr>
      <w:rFonts w:ascii="Calibri" w:hAnsi="Calibri"/>
    </w:rPr>
  </w:style>
  <w:style w:type="character" w:customStyle="1" w:styleId="aff">
    <w:name w:val="Знак Знак"/>
    <w:rPr>
      <w:rFonts w:ascii="Calibri" w:eastAsia="Calibri" w:hAnsi="Calibri"/>
      <w:sz w:val="24"/>
      <w:szCs w:val="24"/>
      <w:lang w:val="ru-RU" w:eastAsia="ru-RU" w:bidi="ar-SA"/>
    </w:rPr>
  </w:style>
  <w:style w:type="paragraph" w:styleId="aff0">
    <w:name w:val="Block Text"/>
    <w:basedOn w:val="a"/>
    <w:pPr>
      <w:shd w:val="clear" w:color="auto" w:fill="FFFFFF"/>
      <w:spacing w:line="317" w:lineRule="exact"/>
      <w:ind w:left="24" w:right="5" w:firstLine="706"/>
      <w:jc w:val="both"/>
    </w:pPr>
    <w:rPr>
      <w:rFonts w:eastAsia="MS Mincho"/>
      <w:sz w:val="28"/>
      <w:szCs w:val="20"/>
    </w:rPr>
  </w:style>
  <w:style w:type="paragraph" w:styleId="aff1">
    <w:name w:val="Normal (Web)"/>
    <w:basedOn w:val="a"/>
    <w:link w:val="aff2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revannmailrucssattributepostfix">
    <w:name w:val="revannmailrucssattributepostfix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rPr>
      <w:sz w:val="24"/>
      <w:szCs w:val="24"/>
    </w:rPr>
  </w:style>
  <w:style w:type="character" w:customStyle="1" w:styleId="aff2">
    <w:name w:val="Обычный (веб) Знак"/>
    <w:link w:val="aff1"/>
    <w:uiPriority w:val="99"/>
    <w:rPr>
      <w:sz w:val="24"/>
      <w:szCs w:val="24"/>
    </w:rPr>
  </w:style>
  <w:style w:type="paragraph" w:styleId="aff3">
    <w:name w:val="Body Text Indent"/>
    <w:basedOn w:val="a"/>
    <w:link w:val="aff4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rPr>
      <w:rFonts w:eastAsia="Calibri"/>
      <w:sz w:val="24"/>
      <w:szCs w:val="24"/>
    </w:rPr>
  </w:style>
  <w:style w:type="paragraph" w:customStyle="1" w:styleId="aff5">
    <w:name w:val="Адресат"/>
    <w:basedOn w:val="a"/>
    <w:pPr>
      <w:spacing w:before="120"/>
    </w:pPr>
    <w:rPr>
      <w:rFonts w:eastAsia="Times New Roman"/>
      <w:b/>
      <w:sz w:val="26"/>
      <w:szCs w:val="20"/>
    </w:rPr>
  </w:style>
  <w:style w:type="character" w:styleId="aff6">
    <w:name w:val="Emphasis"/>
    <w:qFormat/>
    <w:rPr>
      <w:i/>
      <w:iCs/>
    </w:rPr>
  </w:style>
  <w:style w:type="paragraph" w:customStyle="1" w:styleId="2212111">
    <w:name w:val="Текст сноски;Текст сноски Знак Знак;Знак2 Знак Знак;Знак Знак Знак;Текст сноски Знак2;Знак Знак1 Знак;Текст сноски Знак Знак Знак Знак;Знак2 Знак Знак Знак Знак;Знак;Текст сноски Знак1 Знак Знак;Знак Знак1;Текст сноски Знак1"/>
    <w:basedOn w:val="a"/>
    <w:link w:val="22121"/>
    <w:rPr>
      <w:sz w:val="20"/>
      <w:szCs w:val="20"/>
    </w:rPr>
  </w:style>
  <w:style w:type="character" w:customStyle="1" w:styleId="22121">
    <w:name w:val="Текст сноски Знак;Текст сноски Знак Знак Знак;Знак2 Знак Знак Знак;Знак Знак Знак Знак;Текст сноски Знак2 Знак;Знак Знак1 Знак Знак;Текст сноски Знак Знак Знак Знак Знак;Знак2 Знак Знак Знак Знак Знак;Знак Знак;Текст сноски Знак1 Знак Знак Знак"/>
    <w:link w:val="2212111"/>
    <w:rPr>
      <w:rFonts w:eastAsia="Calibri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2">
    <w:name w:val="Выделение1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проведения государственной регистрации права хозяйственного ведения, оперативного управления на объекты недвижимого имущества</vt:lpstr>
    </vt:vector>
  </TitlesOfParts>
  <Company>РОСРЕЕСТР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проведения государственной регистрации права хозяйственного ведения, оперативного управления на объекты недвижимого имущества</dc:title>
  <dc:creator>KolomietcMG</dc:creator>
  <cp:lastModifiedBy>Брандт Елена Николаевна</cp:lastModifiedBy>
  <cp:revision>2</cp:revision>
  <dcterms:created xsi:type="dcterms:W3CDTF">2025-03-04T11:22:00Z</dcterms:created>
  <dcterms:modified xsi:type="dcterms:W3CDTF">2025-03-04T11:22:00Z</dcterms:modified>
  <cp:version>917504</cp:version>
</cp:coreProperties>
</file>